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B" w:rsidRPr="00E53B50" w:rsidRDefault="00B838CB" w:rsidP="00E53B50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Приложение 2</w:t>
      </w:r>
      <w:r w:rsidR="00E53B50">
        <w:rPr>
          <w:rFonts w:ascii="Times New Roman" w:hAnsi="Times New Roman" w:cs="Times New Roman"/>
          <w:sz w:val="24"/>
          <w:szCs w:val="24"/>
        </w:rPr>
        <w:br/>
      </w: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46A4" w:rsidRDefault="004246A4" w:rsidP="004246A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5F06" w:rsidRPr="00F81FD9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80716E">
        <w:rPr>
          <w:rFonts w:ascii="Times New Roman" w:hAnsi="Times New Roman"/>
          <w:sz w:val="24"/>
          <w:szCs w:val="24"/>
          <w:lang w:eastAsia="ru-RU"/>
        </w:rPr>
        <w:t>а</w:t>
      </w:r>
      <w:r w:rsidRPr="00F81FD9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201143" w:rsidRPr="00F81F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201143" w:rsidRPr="00F81FD9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E53B50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E53B50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E53B50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36675F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ЗАЯВЛЕНИЕ</w:t>
      </w: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94163F" w:rsidRDefault="00CA567D" w:rsidP="00F81FD9">
      <w:pPr>
        <w:pStyle w:val="ConsPlusNormal"/>
        <w:spacing w:line="204" w:lineRule="auto"/>
        <w:rPr>
          <w:rFonts w:ascii="Times New Roman" w:hAnsi="Times New Roman" w:cs="Times New Roman"/>
        </w:rPr>
      </w:pPr>
      <w:r w:rsidRPr="00F81FD9"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 прошу внести изменения в разрешение на строительство №</w:t>
      </w:r>
      <w:r w:rsidRPr="0094163F">
        <w:rPr>
          <w:rFonts w:ascii="Times New Roman" w:hAnsi="Times New Roman" w:cs="Times New Roman"/>
        </w:rPr>
        <w:t xml:space="preserve"> __________________________________________________________</w:t>
      </w:r>
      <w:r w:rsidR="00793D51">
        <w:rPr>
          <w:rFonts w:ascii="Times New Roman" w:hAnsi="Times New Roman" w:cs="Times New Roman"/>
        </w:rPr>
        <w:t>_________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CA567D" w:rsidRPr="00F81FD9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D9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F81FD9">
        <w:rPr>
          <w:rFonts w:ascii="Times New Roman" w:hAnsi="Times New Roman" w:cs="Times New Roman"/>
          <w:sz w:val="24"/>
          <w:szCs w:val="24"/>
        </w:rPr>
        <w:t xml:space="preserve"> "_______" __________________ _______ года _______________________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 xml:space="preserve">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(число)                        (месяц)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4163F">
        <w:rPr>
          <w:rFonts w:ascii="Times New Roman" w:hAnsi="Times New Roman" w:cs="Times New Roman"/>
          <w:sz w:val="16"/>
          <w:szCs w:val="16"/>
        </w:rPr>
        <w:t>(год)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F81FD9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со сроком действия до "_______" __________________ _______ года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 (число)   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 (месяц)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4163F">
        <w:rPr>
          <w:rFonts w:ascii="Times New Roman" w:hAnsi="Times New Roman" w:cs="Times New Roman"/>
          <w:sz w:val="16"/>
          <w:szCs w:val="16"/>
        </w:rPr>
        <w:t>(год)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94163F">
        <w:rPr>
          <w:rFonts w:ascii="Times New Roman" w:hAnsi="Times New Roman" w:cs="Times New Roman"/>
        </w:rPr>
        <w:t>___________________________________________________________________</w:t>
      </w:r>
      <w:r w:rsidR="00F81FD9">
        <w:rPr>
          <w:rFonts w:ascii="Times New Roman" w:hAnsi="Times New Roman" w:cs="Times New Roman"/>
        </w:rPr>
        <w:t>___________________________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94163F">
        <w:rPr>
          <w:rFonts w:ascii="Times New Roman" w:hAnsi="Times New Roman" w:cs="Times New Roman"/>
        </w:rPr>
        <w:t>д</w:t>
      </w:r>
      <w:r w:rsidRPr="00F81FD9">
        <w:rPr>
          <w:rFonts w:ascii="Times New Roman" w:hAnsi="Times New Roman" w:cs="Times New Roman"/>
          <w:sz w:val="24"/>
          <w:szCs w:val="24"/>
        </w:rPr>
        <w:t xml:space="preserve">ля строительства, реконструкции </w:t>
      </w:r>
      <w:r w:rsidRPr="00F81FD9">
        <w:rPr>
          <w:rFonts w:ascii="Times New Roman" w:hAnsi="Times New Roman" w:cs="Times New Roman"/>
        </w:rPr>
        <w:t>(</w:t>
      </w:r>
      <w:proofErr w:type="gramStart"/>
      <w:r w:rsidRPr="00F81FD9">
        <w:rPr>
          <w:rFonts w:ascii="Times New Roman" w:hAnsi="Times New Roman" w:cs="Times New Roman"/>
        </w:rPr>
        <w:t>ненужное</w:t>
      </w:r>
      <w:proofErr w:type="gramEnd"/>
      <w:r w:rsidRPr="00F81FD9">
        <w:rPr>
          <w:rFonts w:ascii="Times New Roman" w:hAnsi="Times New Roman" w:cs="Times New Roman"/>
        </w:rPr>
        <w:t xml:space="preserve"> зачеркнуть)</w:t>
      </w:r>
      <w:r w:rsidRPr="00F81FD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Наименование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Кадастровый номер реконструируемого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</w:t>
      </w:r>
      <w:r w:rsidRPr="0094163F">
        <w:rPr>
          <w:rFonts w:ascii="Times New Roman" w:hAnsi="Times New Roman"/>
          <w:sz w:val="16"/>
          <w:szCs w:val="16"/>
          <w:lang w:eastAsia="ru-RU"/>
        </w:rPr>
        <w:t>(в случае реконструкции)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Этап строительства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Адрес (местоположение)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адрес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&lt;3&gt;: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объекта капитального строительства, а при наличии - адрес объекта</w:t>
      </w:r>
      <w:proofErr w:type="gramEnd"/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в виде наименовани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я(</w:t>
      </w:r>
      <w:proofErr w:type="gramEnd"/>
      <w:r w:rsidRPr="0094163F">
        <w:rPr>
          <w:rFonts w:ascii="Times New Roman" w:hAnsi="Times New Roman"/>
          <w:sz w:val="16"/>
          <w:szCs w:val="16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 (земельных участков)</w:t>
      </w:r>
      <w:r w:rsidR="00F81FD9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A567D" w:rsidRPr="0094163F" w:rsidRDefault="00F81FD9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Номер кадастрового квартала (кадастровых кварталов)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F81FD9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A567D" w:rsidRPr="0094163F" w:rsidRDefault="00F81FD9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lastRenderedPageBreak/>
        <w:t>Сведения о градостроительном плане земельного участка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его номер и орган, выдавший градостроительный план земельного участка; заполнение не является обязательным в отношении 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линейных объектов)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проекте планировки и проекте межевания территории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предусмотренных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4163F">
        <w:rPr>
          <w:rFonts w:ascii="Times New Roman" w:hAnsi="Times New Roman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проектной документации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F81F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кем, когда разработана проектная документация, реквизиты документа,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наименование проектной организации; дата (при наличии)  и номер (при наличии) решения об утверждении проектной документации 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94163F">
        <w:rPr>
          <w:rFonts w:ascii="Times New Roman" w:hAnsi="Times New Roman"/>
          <w:sz w:val="20"/>
          <w:szCs w:val="20"/>
          <w:lang w:eastAsia="ru-RU"/>
        </w:rPr>
        <w:t>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положительном заключении экспертизы проектной документации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</w:t>
      </w:r>
    </w:p>
    <w:p w:rsidR="00CA567D" w:rsidRPr="00CA567D" w:rsidRDefault="00CA567D" w:rsidP="00CA567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CA567D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CA567D" w:rsidRPr="0094163F" w:rsidRDefault="00CA567D" w:rsidP="00F81FD9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94163F">
        <w:rPr>
          <w:rFonts w:ascii="Times New Roman" w:hAnsi="Times New Roman"/>
          <w:sz w:val="16"/>
          <w:szCs w:val="16"/>
          <w:lang w:eastAsia="ru-RU"/>
        </w:rPr>
        <w:t>)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94163F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94163F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94163F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94163F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94163F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F81FD9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Сведения о </w:t>
      </w:r>
      <w:r w:rsidR="00CA567D" w:rsidRPr="0094163F">
        <w:rPr>
          <w:rFonts w:ascii="Times New Roman" w:hAnsi="Times New Roman"/>
          <w:sz w:val="20"/>
          <w:szCs w:val="20"/>
          <w:lang w:eastAsia="ru-RU"/>
        </w:rPr>
        <w:t>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CA567D" w:rsidRPr="0080716E" w:rsidRDefault="0080716E" w:rsidP="0080716E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органа, выдавшего разрешение,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регистрационный номер и дата выдачи разрешения)</w:t>
      </w:r>
    </w:p>
    <w:p w:rsidR="00F81FD9" w:rsidRDefault="00F81FD9" w:rsidP="00F81FD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CA567D" w:rsidRPr="00793D51" w:rsidRDefault="00CA567D" w:rsidP="00F81FD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Проектные характеристики объекта капитального строительства </w:t>
      </w:r>
      <w:r w:rsidRPr="00793D5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&lt;10&gt;:</w:t>
      </w:r>
    </w:p>
    <w:p w:rsidR="00CA567D" w:rsidRPr="00793D51" w:rsidRDefault="00CA567D" w:rsidP="00CA567D">
      <w:pPr>
        <w:widowControl w:val="0"/>
        <w:tabs>
          <w:tab w:val="left" w:pos="3855"/>
        </w:tabs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793D51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&lt;11&gt;</w:t>
            </w:r>
          </w:p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&lt;12&gt;</w:t>
            </w:r>
          </w:p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 (кв. м)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части объекта капитального строительства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3D5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93D51">
              <w:rPr>
                <w:rFonts w:ascii="Times New Roman" w:hAnsi="Times New Roman"/>
                <w:sz w:val="24"/>
                <w:szCs w:val="24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&lt;17&gt;</w:t>
            </w: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проектные характеристики линейного объекта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&lt;18&gt;:</w:t>
            </w: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Протяженность участка или части линейного объекта (м):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67D" w:rsidRPr="0094163F" w:rsidRDefault="00CA567D" w:rsidP="00CA567D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 согласно описи</w:t>
      </w:r>
      <w:r w:rsidR="00EA0408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93D51" w:rsidRDefault="00793D51" w:rsidP="00EA0408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F" w:rsidRPr="00793D51" w:rsidRDefault="0036675F" w:rsidP="00EA0408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Интересы застройщика в  </w:t>
      </w:r>
      <w:r w:rsidR="00EA0408" w:rsidRPr="00793D5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793D51" w:rsidRPr="0079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D51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93D51"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EA0408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____________________________________________________________</w:t>
      </w:r>
      <w:r w:rsidR="00EA0408">
        <w:rPr>
          <w:rFonts w:ascii="Times New Roman" w:hAnsi="Times New Roman" w:cs="Times New Roman"/>
        </w:rPr>
        <w:t>______________________</w:t>
      </w:r>
      <w:r w:rsidRPr="0036675F">
        <w:rPr>
          <w:rFonts w:ascii="Times New Roman" w:hAnsi="Times New Roman" w:cs="Times New Roman"/>
        </w:rPr>
        <w:t>_______________</w:t>
      </w:r>
    </w:p>
    <w:p w:rsidR="0036675F" w:rsidRPr="00EA0408" w:rsidRDefault="0036675F" w:rsidP="00EA0408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0408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CA567D" w:rsidRPr="00793D51">
        <w:rPr>
          <w:rFonts w:ascii="Times New Roman" w:hAnsi="Times New Roman" w:cs="Times New Roman"/>
          <w:sz w:val="24"/>
          <w:szCs w:val="24"/>
          <w:vertAlign w:val="superscript"/>
        </w:rPr>
        <w:t>&lt;22</w:t>
      </w:r>
      <w:r w:rsidRPr="00793D51"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="00EA0408" w:rsidRPr="00793D51">
        <w:rPr>
          <w:rFonts w:ascii="Times New Roman" w:hAnsi="Times New Roman" w:cs="Times New Roman"/>
          <w:sz w:val="24"/>
          <w:szCs w:val="24"/>
        </w:rPr>
        <w:t>№</w:t>
      </w:r>
      <w:r w:rsidRPr="00793D51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gramStart"/>
      <w:r w:rsidRPr="00793D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D5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(реквизиты доверенности)</w:t>
      </w:r>
    </w:p>
    <w:p w:rsidR="00793D51" w:rsidRDefault="00793D51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p w:rsidR="0080716E" w:rsidRPr="00941506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_______________________________________  _________  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AC597E">
        <w:rPr>
          <w:rFonts w:ascii="Times New Roman" w:hAnsi="Times New Roman" w:cs="Times New Roman"/>
          <w:sz w:val="16"/>
          <w:szCs w:val="16"/>
        </w:rPr>
        <w:t xml:space="preserve">(должность для застройщика,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C597E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36675F" w:rsidRPr="00AC597E" w:rsidRDefault="0036675F" w:rsidP="00CA567D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</w:t>
      </w:r>
      <w:r w:rsidR="00793D5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C597E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AC597E">
        <w:rPr>
          <w:rFonts w:ascii="Times New Roman" w:hAnsi="Times New Roman" w:cs="Times New Roman"/>
          <w:sz w:val="16"/>
          <w:szCs w:val="16"/>
        </w:rPr>
        <w:t xml:space="preserve"> юридическим лицом) </w:t>
      </w:r>
      <w:r w:rsidR="00CA567D" w:rsidRPr="0094163F">
        <w:rPr>
          <w:rFonts w:ascii="Times New Roman" w:hAnsi="Times New Roman"/>
          <w:vertAlign w:val="superscript"/>
          <w:lang w:eastAsia="ru-RU"/>
        </w:rPr>
        <w:t>&lt;23&gt;</w:t>
      </w:r>
      <w:r w:rsidRPr="00AC597E">
        <w:rPr>
          <w:rFonts w:ascii="Times New Roman" w:hAnsi="Times New Roman" w:cs="Times New Roman"/>
          <w:sz w:val="16"/>
          <w:szCs w:val="16"/>
          <w:vertAlign w:val="superscript"/>
        </w:rPr>
        <w:t>&lt;7&gt;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793D51" w:rsidRDefault="00793D51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 xml:space="preserve">М.П. </w:t>
      </w:r>
      <w:r w:rsidR="00CA567D">
        <w:rPr>
          <w:rFonts w:ascii="Times New Roman" w:hAnsi="Times New Roman" w:cs="Times New Roman"/>
          <w:vertAlign w:val="superscript"/>
        </w:rPr>
        <w:t>&lt;24</w:t>
      </w:r>
      <w:r w:rsidRPr="00AC597E">
        <w:rPr>
          <w:rFonts w:ascii="Times New Roman" w:hAnsi="Times New Roman" w:cs="Times New Roman"/>
          <w:vertAlign w:val="superscript"/>
        </w:rPr>
        <w:t>&gt;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D51">
        <w:rPr>
          <w:rFonts w:ascii="Times New Roman" w:hAnsi="Times New Roman" w:cs="Times New Roman"/>
          <w:sz w:val="24"/>
          <w:szCs w:val="24"/>
        </w:rPr>
        <w:t>Заявление застройщика и указанные в описи документы принял и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 xml:space="preserve">зарегистрировал </w:t>
      </w:r>
      <w:r w:rsidRPr="00793D51">
        <w:rPr>
          <w:rFonts w:ascii="Times New Roman" w:hAnsi="Times New Roman" w:cs="Times New Roman"/>
          <w:sz w:val="24"/>
          <w:szCs w:val="24"/>
        </w:rPr>
        <w:lastRenderedPageBreak/>
        <w:t>специалист МФЦ</w:t>
      </w:r>
      <w:r w:rsidR="00AC597E" w:rsidRPr="00793D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            _________________________________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:rsidR="00E53B50" w:rsidRDefault="00E53B50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</w:p>
    <w:p w:rsidR="00E53B50" w:rsidRDefault="00E53B50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--------------------------------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2012"/>
      <w:bookmarkEnd w:id="1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реконструкция такого линейного объекта.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10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11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внесении изменений в разрешение на строительство (реконструкцию) линейного объекта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дата и номер решения об утверждении внесенных в проектную документацию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разрешения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изменений).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разрешения на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строительство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В случае подачи заявления о внесении изменений в разрешение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внесении изменений в разрешение на строительство, выданное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AC597E" w:rsidRDefault="00AC597E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36675F" w:rsidRPr="0036675F" w:rsidRDefault="004246A4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6675F" w:rsidRPr="0036675F">
        <w:rPr>
          <w:rFonts w:ascii="Times New Roman" w:hAnsi="Times New Roman" w:cs="Times New Roman"/>
        </w:rPr>
        <w:lastRenderedPageBreak/>
        <w:t>Приложение</w:t>
      </w:r>
    </w:p>
    <w:p w:rsidR="0036675F" w:rsidRPr="0036675F" w:rsidRDefault="0036675F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proofErr w:type="gramStart"/>
      <w:r w:rsidRPr="0036675F">
        <w:rPr>
          <w:rFonts w:ascii="Times New Roman" w:hAnsi="Times New Roman" w:cs="Times New Roman"/>
        </w:rPr>
        <w:t>к заявлению о внесении изменений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разрешение на строительство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связи</w:t>
      </w:r>
      <w:proofErr w:type="gramEnd"/>
      <w:r w:rsidRPr="0036675F">
        <w:rPr>
          <w:rFonts w:ascii="Times New Roman" w:hAnsi="Times New Roman" w:cs="Times New Roman"/>
        </w:rPr>
        <w:t xml:space="preserve"> с внесением изменений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проектную документацию</w:t>
      </w:r>
    </w:p>
    <w:p w:rsidR="0036675F" w:rsidRPr="0036675F" w:rsidRDefault="0036675F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"__" _______ 20__ года</w:t>
      </w:r>
    </w:p>
    <w:p w:rsidR="0036675F" w:rsidRPr="0036675F" w:rsidRDefault="0036675F" w:rsidP="00E53B50">
      <w:pPr>
        <w:pStyle w:val="ConsPlusNormal"/>
        <w:spacing w:after="1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5"/>
      <w:bookmarkEnd w:id="2"/>
      <w:r w:rsidRPr="00793D51">
        <w:rPr>
          <w:rFonts w:ascii="Times New Roman" w:hAnsi="Times New Roman" w:cs="Times New Roman"/>
          <w:sz w:val="24"/>
          <w:szCs w:val="24"/>
        </w:rPr>
        <w:t>ОПИСЬ</w:t>
      </w:r>
    </w:p>
    <w:p w:rsidR="00AC597E" w:rsidRPr="00793D51" w:rsidRDefault="0036675F" w:rsidP="00AC597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документов, представленных в 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</w:p>
    <w:p w:rsidR="0036675F" w:rsidRPr="00793D51" w:rsidRDefault="0036675F" w:rsidP="00AC597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 для внесения изменений в разрешение</w:t>
      </w: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на строительство в связи с внесением изменений</w:t>
      </w: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в проектную документацию</w:t>
      </w:r>
    </w:p>
    <w:p w:rsidR="0036675F" w:rsidRPr="0036675F" w:rsidRDefault="0036675F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CA567D" w:rsidRPr="0094163F" w:rsidRDefault="00CA567D" w:rsidP="00CA567D">
      <w:pPr>
        <w:pStyle w:val="ConsPlusNormal"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4874"/>
        <w:gridCol w:w="1218"/>
        <w:gridCol w:w="1470"/>
        <w:gridCol w:w="1810"/>
      </w:tblGrid>
      <w:tr w:rsidR="00CA567D" w:rsidRPr="00793D51" w:rsidTr="00E53B50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793D5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D51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2" w:history="1">
              <w:r w:rsidRPr="00793D51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793D51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793D51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3" w:history="1">
              <w:r w:rsidRPr="00793D51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trHeight w:val="44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</w:t>
            </w:r>
            <w:r w:rsidRPr="00793D51">
              <w:rPr>
                <w:rFonts w:ascii="Times New Roman" w:hAnsi="Times New Roman" w:cs="Times New Roman"/>
              </w:rPr>
              <w:lastRenderedPageBreak/>
      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793D51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793D5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793D5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793D51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3D51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4" w:history="1">
              <w:r w:rsidRPr="00793D51">
                <w:rPr>
                  <w:rFonts w:ascii="Times New Roman" w:hAnsi="Times New Roman" w:cs="Times New Roman"/>
                </w:rPr>
                <w:t>законом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567D" w:rsidRPr="00793D51" w:rsidRDefault="00CA567D" w:rsidP="00CA567D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793D51">
        <w:rPr>
          <w:rFonts w:ascii="Times New Roman" w:hAnsi="Times New Roman" w:cs="Times New Roman"/>
          <w:sz w:val="22"/>
        </w:rPr>
        <w:t>__________________________________</w:t>
      </w:r>
    </w:p>
    <w:p w:rsidR="0036675F" w:rsidRPr="0036675F" w:rsidRDefault="0036675F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793D51">
        <w:rPr>
          <w:rFonts w:ascii="Times New Roman" w:hAnsi="Times New Roman" w:cs="Times New Roman"/>
        </w:rPr>
        <w:t>--------------------------------</w:t>
      </w:r>
    </w:p>
    <w:p w:rsidR="0036675F" w:rsidRPr="0036675F" w:rsidRDefault="0036675F" w:rsidP="0036675F">
      <w:pPr>
        <w:pStyle w:val="ConsPlusNormal"/>
        <w:spacing w:before="200" w:line="204" w:lineRule="auto"/>
        <w:ind w:firstLine="540"/>
        <w:jc w:val="both"/>
        <w:rPr>
          <w:rFonts w:ascii="Times New Roman" w:hAnsi="Times New Roman" w:cs="Times New Roman"/>
        </w:rPr>
      </w:pPr>
      <w:bookmarkStart w:id="3" w:name="P2211"/>
      <w:bookmarkEnd w:id="3"/>
      <w:r w:rsidRPr="0036675F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CA567D" w:rsidRDefault="00CA567D" w:rsidP="004246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212"/>
      <w:bookmarkEnd w:id="4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DA4947" w:rsidRPr="0094163F" w:rsidTr="0048631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4947" w:rsidRPr="0094163F" w:rsidTr="00486319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DA49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DA4947" w:rsidRPr="0094163F" w:rsidTr="00486319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A4947" w:rsidRPr="0094163F" w:rsidRDefault="00DA4947" w:rsidP="00DA494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94163F">
        <w:rPr>
          <w:rFonts w:ascii="Times New Roman" w:hAnsi="Times New Roman" w:cs="Times New Roman"/>
          <w:sz w:val="22"/>
        </w:rPr>
        <w:t>__________________________________</w:t>
      </w:r>
    </w:p>
    <w:p w:rsidR="00DA4947" w:rsidRPr="0094163F" w:rsidRDefault="00DA4947" w:rsidP="00DA494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DA4947" w:rsidRPr="0094163F" w:rsidRDefault="00DA4947" w:rsidP="00DA4947">
      <w:pPr>
        <w:pStyle w:val="ConsPlusNormal"/>
        <w:rPr>
          <w:rFonts w:ascii="Times New Roman" w:hAnsi="Times New Roman" w:cs="Times New Roman"/>
          <w:sz w:val="22"/>
        </w:rPr>
      </w:pPr>
    </w:p>
    <w:p w:rsidR="00DA4947" w:rsidRPr="0094163F" w:rsidRDefault="00DA4947" w:rsidP="00DA494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94163F">
        <w:rPr>
          <w:rFonts w:ascii="Times New Roman" w:hAnsi="Times New Roman" w:cs="Times New Roman"/>
          <w:sz w:val="22"/>
        </w:rPr>
        <w:t>"___" ________ 20___ г.</w:t>
      </w:r>
    </w:p>
    <w:p w:rsidR="00DA4947" w:rsidRPr="0094163F" w:rsidRDefault="00DA4947" w:rsidP="00DA4947">
      <w:pPr>
        <w:pStyle w:val="ConsPlusNormal"/>
      </w:pPr>
    </w:p>
    <w:p w:rsidR="00DA4947" w:rsidRDefault="00DA4947" w:rsidP="00424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DA4947" w:rsidSect="00C83810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3" w:rsidRDefault="001D3633">
      <w:pPr>
        <w:spacing w:after="0" w:line="240" w:lineRule="auto"/>
      </w:pPr>
      <w:r>
        <w:separator/>
      </w:r>
    </w:p>
  </w:endnote>
  <w:endnote w:type="continuationSeparator" w:id="0">
    <w:p w:rsidR="001D3633" w:rsidRDefault="001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3" w:rsidRDefault="001D3633">
      <w:pPr>
        <w:spacing w:after="0" w:line="240" w:lineRule="auto"/>
      </w:pPr>
      <w:r>
        <w:separator/>
      </w:r>
    </w:p>
  </w:footnote>
  <w:footnote w:type="continuationSeparator" w:id="0">
    <w:p w:rsidR="001D3633" w:rsidRDefault="001D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161C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3633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1D90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43A1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83810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4" Type="http://schemas.openxmlformats.org/officeDocument/2006/relationships/hyperlink" Target="consultantplus://offline/ref=5BC042C02E5A13EF1E84C47AAFD908F9895F82D05B007D9833F580D0D1E1078B243DCF8E2202BAEA3235893154a3D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3ABC-E059-4CDB-90C5-7CB710B7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28565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4</cp:revision>
  <cp:lastPrinted>2022-11-09T09:06:00Z</cp:lastPrinted>
  <dcterms:created xsi:type="dcterms:W3CDTF">2023-10-25T13:19:00Z</dcterms:created>
  <dcterms:modified xsi:type="dcterms:W3CDTF">2024-05-22T12:50:00Z</dcterms:modified>
</cp:coreProperties>
</file>